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866" w:rsidRPr="00362DB2" w:rsidRDefault="00AD4866" w:rsidP="00AD4866">
      <w:pPr>
        <w:spacing w:after="0" w:line="240" w:lineRule="auto"/>
        <w:rPr>
          <w:rFonts w:ascii="Calibri" w:eastAsia="Times New Roman" w:hAnsi="Calibri" w:cs="Calibri"/>
          <w:b/>
          <w:lang w:eastAsia="fr-FR"/>
        </w:rPr>
      </w:pPr>
      <w:r w:rsidRPr="00362DB2">
        <w:rPr>
          <w:rFonts w:ascii="Calibri" w:eastAsia="Times New Roman" w:hAnsi="Calibri" w:cs="Calibri"/>
          <w:b/>
          <w:lang w:eastAsia="fr-FR"/>
        </w:rPr>
        <w:t xml:space="preserve">Douleurs, soins palliatifs                    </w:t>
      </w:r>
    </w:p>
    <w:tbl>
      <w:tblPr>
        <w:tblW w:w="9296" w:type="dxa"/>
        <w:tblInd w:w="55" w:type="dxa"/>
        <w:tblLayout w:type="fixed"/>
        <w:tblCellMar>
          <w:left w:w="70" w:type="dxa"/>
          <w:right w:w="70" w:type="dxa"/>
        </w:tblCellMar>
        <w:tblLook w:val="0000" w:firstRow="0" w:lastRow="0" w:firstColumn="0" w:lastColumn="0" w:noHBand="0" w:noVBand="0"/>
      </w:tblPr>
      <w:tblGrid>
        <w:gridCol w:w="1040"/>
        <w:gridCol w:w="8256"/>
      </w:tblGrid>
      <w:tr w:rsidR="00AD4866" w:rsidRPr="00362DB2" w:rsidTr="00380F5D">
        <w:trPr>
          <w:trHeight w:val="255"/>
        </w:trPr>
        <w:tc>
          <w:tcPr>
            <w:tcW w:w="1040" w:type="dxa"/>
            <w:tcBorders>
              <w:top w:val="single" w:sz="4" w:space="0" w:color="auto"/>
              <w:left w:val="single" w:sz="4" w:space="0" w:color="auto"/>
              <w:bottom w:val="single" w:sz="4" w:space="0" w:color="auto"/>
              <w:right w:val="single" w:sz="4" w:space="0" w:color="auto"/>
            </w:tcBorders>
            <w:shd w:val="clear" w:color="auto" w:fill="C0C0C0"/>
          </w:tcPr>
          <w:p w:rsidR="00AD4866" w:rsidRPr="00362DB2" w:rsidRDefault="00AD4866" w:rsidP="00380F5D">
            <w:pPr>
              <w:spacing w:after="0" w:line="240" w:lineRule="auto"/>
              <w:rPr>
                <w:rFonts w:ascii="Calibri" w:eastAsia="Times New Roman" w:hAnsi="Calibri" w:cs="Calibri"/>
                <w:b/>
                <w:bCs/>
                <w:color w:val="000000"/>
                <w:lang w:eastAsia="fr-FR"/>
              </w:rPr>
            </w:pPr>
            <w:r w:rsidRPr="00362DB2">
              <w:rPr>
                <w:rFonts w:ascii="Calibri" w:eastAsia="Times New Roman" w:hAnsi="Calibri" w:cs="Calibri"/>
                <w:b/>
                <w:bCs/>
                <w:color w:val="000000"/>
                <w:lang w:eastAsia="fr-FR"/>
              </w:rPr>
              <w:t xml:space="preserve">N° </w:t>
            </w:r>
            <w:r w:rsidRPr="00362DB2">
              <w:rPr>
                <w:rFonts w:ascii="Calibri" w:eastAsia="Times New Roman" w:hAnsi="Calibri" w:cs="Calibri"/>
                <w:b/>
                <w:bCs/>
                <w:noProof/>
                <w:color w:val="000000"/>
                <w:lang w:eastAsia="fr-FR"/>
              </w:rPr>
              <mc:AlternateContent>
                <mc:Choice Requires="wpc">
                  <w:drawing>
                    <wp:inline distT="0" distB="0" distL="0" distR="0" wp14:anchorId="709C7792" wp14:editId="3DA41B0B">
                      <wp:extent cx="571500" cy="342900"/>
                      <wp:effectExtent l="1270" t="1905" r="0" b="0"/>
                      <wp:docPr id="5" name="Zone de dessin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B265931" id="Zone de dessin 5" o:spid="_x0000_s1026" editas="canvas" style="width:45pt;height:27pt;mso-position-horizontal-relative:char;mso-position-vertical-relative:line" coordsize="5715,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height:3429;visibility:visible;mso-wrap-style:square">
                        <v:fill o:detectmouseclick="t"/>
                        <v:path o:connecttype="none"/>
                      </v:shape>
                      <w10:anchorlock/>
                    </v:group>
                  </w:pict>
                </mc:Fallback>
              </mc:AlternateContent>
            </w:r>
          </w:p>
        </w:tc>
        <w:tc>
          <w:tcPr>
            <w:tcW w:w="8256" w:type="dxa"/>
            <w:tcBorders>
              <w:top w:val="single" w:sz="4" w:space="0" w:color="auto"/>
              <w:left w:val="nil"/>
              <w:bottom w:val="single" w:sz="4" w:space="0" w:color="auto"/>
              <w:right w:val="single" w:sz="4" w:space="0" w:color="auto"/>
            </w:tcBorders>
            <w:shd w:val="clear" w:color="auto" w:fill="C0C0C0"/>
          </w:tcPr>
          <w:p w:rsidR="00AD4866" w:rsidRPr="00362DB2" w:rsidRDefault="00AD4866" w:rsidP="00380F5D">
            <w:pPr>
              <w:spacing w:after="0" w:line="240" w:lineRule="auto"/>
              <w:rPr>
                <w:rFonts w:ascii="Calibri" w:eastAsia="Times New Roman" w:hAnsi="Calibri" w:cs="Calibri"/>
                <w:b/>
                <w:bCs/>
                <w:color w:val="000000"/>
                <w:lang w:eastAsia="fr-FR"/>
              </w:rPr>
            </w:pPr>
            <w:r w:rsidRPr="00362DB2">
              <w:rPr>
                <w:rFonts w:ascii="Calibri" w:eastAsia="Times New Roman" w:hAnsi="Calibri" w:cs="Calibri"/>
                <w:b/>
                <w:bCs/>
                <w:color w:val="000000"/>
                <w:lang w:eastAsia="fr-FR"/>
              </w:rPr>
              <w:t>Items</w:t>
            </w:r>
          </w:p>
        </w:tc>
      </w:tr>
      <w:tr w:rsidR="00AD4866" w:rsidRPr="00362DB2" w:rsidTr="00380F5D">
        <w:trPr>
          <w:trHeight w:val="510"/>
        </w:trPr>
        <w:tc>
          <w:tcPr>
            <w:tcW w:w="1040" w:type="dxa"/>
            <w:tcBorders>
              <w:top w:val="single" w:sz="4" w:space="0" w:color="auto"/>
              <w:left w:val="single" w:sz="4" w:space="0" w:color="auto"/>
              <w:bottom w:val="single" w:sz="4" w:space="0" w:color="auto"/>
              <w:right w:val="single" w:sz="4" w:space="0" w:color="auto"/>
            </w:tcBorders>
            <w:shd w:val="clear" w:color="auto" w:fill="auto"/>
          </w:tcPr>
          <w:p w:rsidR="00AD4866" w:rsidRPr="00362DB2" w:rsidRDefault="00AD4866" w:rsidP="00380F5D">
            <w:pPr>
              <w:spacing w:after="0" w:line="240" w:lineRule="auto"/>
              <w:jc w:val="right"/>
              <w:rPr>
                <w:rFonts w:ascii="Calibri" w:eastAsia="Times New Roman" w:hAnsi="Calibri" w:cs="Calibri"/>
                <w:color w:val="000000"/>
                <w:lang w:eastAsia="fr-FR"/>
              </w:rPr>
            </w:pPr>
            <w:r w:rsidRPr="00362DB2">
              <w:rPr>
                <w:rFonts w:ascii="Calibri" w:eastAsia="Times New Roman" w:hAnsi="Calibri" w:cs="Calibri"/>
                <w:color w:val="000000"/>
                <w:lang w:eastAsia="fr-FR"/>
              </w:rPr>
              <w:t>134</w:t>
            </w:r>
          </w:p>
        </w:tc>
        <w:tc>
          <w:tcPr>
            <w:tcW w:w="8256" w:type="dxa"/>
            <w:tcBorders>
              <w:top w:val="single" w:sz="4" w:space="0" w:color="auto"/>
              <w:left w:val="nil"/>
              <w:bottom w:val="single" w:sz="4" w:space="0" w:color="auto"/>
              <w:right w:val="single" w:sz="4" w:space="0" w:color="auto"/>
            </w:tcBorders>
            <w:shd w:val="clear" w:color="auto" w:fill="auto"/>
          </w:tcPr>
          <w:p w:rsidR="00AD4866" w:rsidRPr="00362DB2" w:rsidRDefault="00AD4866" w:rsidP="00380F5D">
            <w:pPr>
              <w:autoSpaceDE w:val="0"/>
              <w:autoSpaceDN w:val="0"/>
              <w:spacing w:after="0" w:line="240" w:lineRule="auto"/>
              <w:jc w:val="both"/>
              <w:rPr>
                <w:rFonts w:ascii="Calibri" w:eastAsia="Times New Roman" w:hAnsi="Calibri" w:cs="Calibri"/>
                <w:b/>
                <w:lang w:eastAsia="fr-FR"/>
              </w:rPr>
            </w:pPr>
            <w:r w:rsidRPr="00362DB2">
              <w:rPr>
                <w:rFonts w:ascii="Calibri" w:eastAsia="Times New Roman" w:hAnsi="Calibri" w:cs="Calibri"/>
                <w:b/>
                <w:lang w:eastAsia="fr-FR"/>
              </w:rPr>
              <w:t>Bases neurophysiologiques, mécanismes physiopathologiques d’une douleur aiguë et d’une douleur chronique</w:t>
            </w:r>
          </w:p>
          <w:p w:rsidR="00AD4866" w:rsidRPr="00362DB2" w:rsidRDefault="00AD4866" w:rsidP="00380F5D">
            <w:pPr>
              <w:autoSpaceDE w:val="0"/>
              <w:autoSpaceDN w:val="0"/>
              <w:spacing w:after="0" w:line="240" w:lineRule="auto"/>
              <w:jc w:val="both"/>
              <w:rPr>
                <w:rFonts w:ascii="Calibri" w:eastAsia="Times New Roman" w:hAnsi="Calibri" w:cs="Calibri"/>
                <w:lang w:eastAsia="fr-FR"/>
              </w:rPr>
            </w:pPr>
            <w:r w:rsidRPr="00362DB2">
              <w:rPr>
                <w:rFonts w:ascii="Calibri" w:eastAsia="Times New Roman" w:hAnsi="Calibri" w:cs="Calibri"/>
                <w:lang w:eastAsia="fr-FR"/>
              </w:rPr>
              <w:t>-Reconnaître et évaluer une douleur aiguë et une douleur chronique (douleurs nociceptives, neuropathiques et dysfonctionnelles) chez l’adulte et la personne âgée / peu communicante</w:t>
            </w:r>
          </w:p>
          <w:p w:rsidR="00AD4866" w:rsidRPr="00362DB2" w:rsidRDefault="00AD4866" w:rsidP="00380F5D">
            <w:pPr>
              <w:spacing w:after="0" w:line="240" w:lineRule="auto"/>
              <w:rPr>
                <w:rFonts w:ascii="Calibri" w:eastAsia="Times New Roman" w:hAnsi="Calibri" w:cs="Calibri"/>
                <w:color w:val="000000"/>
                <w:lang w:eastAsia="fr-FR"/>
              </w:rPr>
            </w:pPr>
          </w:p>
        </w:tc>
      </w:tr>
      <w:tr w:rsidR="00AD4866" w:rsidRPr="00362DB2" w:rsidTr="00380F5D">
        <w:trPr>
          <w:trHeight w:val="510"/>
        </w:trPr>
        <w:tc>
          <w:tcPr>
            <w:tcW w:w="1040" w:type="dxa"/>
            <w:tcBorders>
              <w:top w:val="single" w:sz="4" w:space="0" w:color="auto"/>
              <w:left w:val="single" w:sz="4" w:space="0" w:color="auto"/>
              <w:bottom w:val="single" w:sz="4" w:space="0" w:color="auto"/>
              <w:right w:val="single" w:sz="4" w:space="0" w:color="auto"/>
            </w:tcBorders>
            <w:shd w:val="clear" w:color="auto" w:fill="auto"/>
          </w:tcPr>
          <w:p w:rsidR="00AD4866" w:rsidRPr="00362DB2" w:rsidRDefault="00AD4866" w:rsidP="00380F5D">
            <w:pPr>
              <w:spacing w:after="0" w:line="240" w:lineRule="auto"/>
              <w:jc w:val="right"/>
              <w:rPr>
                <w:rFonts w:ascii="Calibri" w:eastAsia="Times New Roman" w:hAnsi="Calibri" w:cs="Calibri"/>
                <w:color w:val="000000"/>
                <w:lang w:eastAsia="fr-FR"/>
              </w:rPr>
            </w:pPr>
            <w:r w:rsidRPr="00362DB2">
              <w:rPr>
                <w:rFonts w:ascii="Calibri" w:eastAsia="Times New Roman" w:hAnsi="Calibri" w:cs="Calibri"/>
                <w:color w:val="000000"/>
                <w:lang w:eastAsia="fr-FR"/>
              </w:rPr>
              <w:t>135</w:t>
            </w:r>
          </w:p>
        </w:tc>
        <w:tc>
          <w:tcPr>
            <w:tcW w:w="8256" w:type="dxa"/>
            <w:tcBorders>
              <w:top w:val="single" w:sz="4" w:space="0" w:color="auto"/>
              <w:left w:val="nil"/>
              <w:bottom w:val="single" w:sz="4" w:space="0" w:color="auto"/>
              <w:right w:val="single" w:sz="4" w:space="0" w:color="auto"/>
            </w:tcBorders>
            <w:shd w:val="clear" w:color="auto" w:fill="auto"/>
          </w:tcPr>
          <w:p w:rsidR="00AD4866" w:rsidRPr="00362DB2" w:rsidRDefault="00AD4866" w:rsidP="00380F5D">
            <w:pPr>
              <w:autoSpaceDE w:val="0"/>
              <w:autoSpaceDN w:val="0"/>
              <w:spacing w:after="0" w:line="240" w:lineRule="auto"/>
              <w:jc w:val="both"/>
              <w:rPr>
                <w:rFonts w:ascii="Calibri" w:eastAsia="Times New Roman" w:hAnsi="Calibri" w:cs="Calibri"/>
                <w:b/>
                <w:bCs/>
                <w:lang w:eastAsia="fr-FR"/>
              </w:rPr>
            </w:pPr>
            <w:r w:rsidRPr="00362DB2">
              <w:rPr>
                <w:rFonts w:ascii="Calibri" w:eastAsia="Times New Roman" w:hAnsi="Calibri" w:cs="Calibri"/>
                <w:b/>
                <w:bCs/>
                <w:color w:val="000000"/>
                <w:lang w:eastAsia="fr-FR"/>
              </w:rPr>
              <w:t xml:space="preserve"> </w:t>
            </w:r>
            <w:r w:rsidRPr="00362DB2">
              <w:rPr>
                <w:rFonts w:ascii="Calibri" w:eastAsia="Times New Roman" w:hAnsi="Calibri" w:cs="Calibri"/>
                <w:b/>
                <w:bCs/>
                <w:lang w:eastAsia="fr-FR"/>
              </w:rPr>
              <w:t xml:space="preserve">Thérapeutiques antalgiques, médicamenteuses et non médicamenteuses.  </w:t>
            </w:r>
          </w:p>
          <w:p w:rsidR="00AD4866" w:rsidRPr="00362DB2" w:rsidRDefault="00AD4866" w:rsidP="00380F5D">
            <w:pPr>
              <w:autoSpaceDE w:val="0"/>
              <w:autoSpaceDN w:val="0"/>
              <w:spacing w:after="0" w:line="240" w:lineRule="auto"/>
              <w:jc w:val="both"/>
              <w:rPr>
                <w:rFonts w:ascii="Calibri" w:eastAsia="Times New Roman" w:hAnsi="Calibri" w:cs="Calibri"/>
                <w:lang w:eastAsia="fr-FR"/>
              </w:rPr>
            </w:pPr>
            <w:r w:rsidRPr="00362DB2">
              <w:rPr>
                <w:rFonts w:ascii="Calibri" w:eastAsia="Times New Roman" w:hAnsi="Calibri" w:cs="Calibri"/>
                <w:highlight w:val="yellow"/>
                <w:lang w:eastAsia="fr-FR"/>
              </w:rPr>
              <w:t>-Connaitre</w:t>
            </w:r>
            <w:r w:rsidRPr="00362DB2">
              <w:rPr>
                <w:rFonts w:ascii="Calibri" w:eastAsia="Times New Roman" w:hAnsi="Calibri" w:cs="Calibri"/>
                <w:lang w:eastAsia="fr-FR"/>
              </w:rPr>
              <w:t xml:space="preserve"> la stratégie de prise en charge globale d’une douleur aiguë ou chronique chez l’adulte. </w:t>
            </w:r>
          </w:p>
          <w:p w:rsidR="00AD4866" w:rsidRPr="00362DB2" w:rsidRDefault="00AD4866" w:rsidP="00380F5D">
            <w:pPr>
              <w:autoSpaceDE w:val="0"/>
              <w:autoSpaceDN w:val="0"/>
              <w:spacing w:after="0" w:line="240" w:lineRule="auto"/>
              <w:jc w:val="both"/>
              <w:rPr>
                <w:rFonts w:ascii="Calibri" w:eastAsia="Times New Roman" w:hAnsi="Calibri" w:cs="Calibri"/>
                <w:lang w:eastAsia="fr-FR"/>
              </w:rPr>
            </w:pPr>
            <w:r w:rsidRPr="00362DB2">
              <w:rPr>
                <w:rFonts w:ascii="Calibri" w:eastAsia="Times New Roman" w:hAnsi="Calibri" w:cs="Calibri"/>
                <w:lang w:eastAsia="fr-FR"/>
              </w:rPr>
              <w:t>-Connaitre et prescrire les thérapeutiques antalgiques médicamenteuses et non médicamenteuses (voir item 330)</w:t>
            </w:r>
          </w:p>
          <w:p w:rsidR="00AD4866" w:rsidRPr="00362DB2" w:rsidRDefault="00AD4866" w:rsidP="00380F5D">
            <w:pPr>
              <w:autoSpaceDE w:val="0"/>
              <w:autoSpaceDN w:val="0"/>
              <w:spacing w:after="0" w:line="240" w:lineRule="auto"/>
              <w:jc w:val="both"/>
              <w:rPr>
                <w:rFonts w:ascii="Calibri" w:eastAsia="Times New Roman" w:hAnsi="Calibri" w:cs="Calibri"/>
                <w:b/>
                <w:i/>
                <w:lang w:eastAsia="fr-FR"/>
              </w:rPr>
            </w:pPr>
            <w:r w:rsidRPr="00362DB2">
              <w:rPr>
                <w:rFonts w:ascii="Calibri" w:eastAsia="Times New Roman" w:hAnsi="Calibri" w:cs="Calibri"/>
                <w:lang w:eastAsia="fr-FR"/>
              </w:rPr>
              <w:t xml:space="preserve">-S’assurer de l’efficacité d’un traitement et l’adapter en fonction de l’évaluation </w:t>
            </w:r>
          </w:p>
          <w:p w:rsidR="00AD4866" w:rsidRPr="00362DB2" w:rsidRDefault="00AD4866" w:rsidP="00380F5D">
            <w:pPr>
              <w:spacing w:after="0" w:line="240" w:lineRule="auto"/>
              <w:rPr>
                <w:rFonts w:ascii="Calibri" w:eastAsia="Times New Roman" w:hAnsi="Calibri" w:cs="Calibri"/>
                <w:color w:val="000000"/>
                <w:lang w:eastAsia="fr-FR"/>
              </w:rPr>
            </w:pPr>
          </w:p>
        </w:tc>
      </w:tr>
      <w:tr w:rsidR="00AD4866" w:rsidRPr="00362DB2" w:rsidTr="00380F5D">
        <w:trPr>
          <w:trHeight w:val="255"/>
        </w:trPr>
        <w:tc>
          <w:tcPr>
            <w:tcW w:w="1040" w:type="dxa"/>
            <w:tcBorders>
              <w:top w:val="single" w:sz="4" w:space="0" w:color="auto"/>
              <w:left w:val="single" w:sz="4" w:space="0" w:color="auto"/>
              <w:bottom w:val="single" w:sz="4" w:space="0" w:color="auto"/>
              <w:right w:val="single" w:sz="4" w:space="0" w:color="auto"/>
            </w:tcBorders>
            <w:shd w:val="clear" w:color="auto" w:fill="auto"/>
          </w:tcPr>
          <w:p w:rsidR="00AD4866" w:rsidRPr="00362DB2" w:rsidRDefault="00AD4866" w:rsidP="00380F5D">
            <w:pPr>
              <w:spacing w:after="0" w:line="240" w:lineRule="auto"/>
              <w:jc w:val="right"/>
              <w:rPr>
                <w:rFonts w:ascii="Calibri" w:eastAsia="Times New Roman" w:hAnsi="Calibri" w:cs="Calibri"/>
                <w:color w:val="000000"/>
                <w:lang w:eastAsia="fr-FR"/>
              </w:rPr>
            </w:pPr>
            <w:r w:rsidRPr="00362DB2">
              <w:rPr>
                <w:rFonts w:ascii="Calibri" w:eastAsia="Times New Roman" w:hAnsi="Calibri" w:cs="Calibri"/>
                <w:color w:val="000000"/>
                <w:lang w:eastAsia="fr-FR"/>
              </w:rPr>
              <w:t>136</w:t>
            </w:r>
          </w:p>
        </w:tc>
        <w:tc>
          <w:tcPr>
            <w:tcW w:w="8256" w:type="dxa"/>
            <w:tcBorders>
              <w:top w:val="single" w:sz="4" w:space="0" w:color="auto"/>
              <w:left w:val="nil"/>
              <w:bottom w:val="single" w:sz="4" w:space="0" w:color="auto"/>
              <w:right w:val="single" w:sz="4" w:space="0" w:color="auto"/>
            </w:tcBorders>
            <w:shd w:val="clear" w:color="auto" w:fill="auto"/>
          </w:tcPr>
          <w:p w:rsidR="00AD4866" w:rsidRPr="00362DB2" w:rsidRDefault="00AD4866" w:rsidP="00380F5D">
            <w:pPr>
              <w:autoSpaceDE w:val="0"/>
              <w:autoSpaceDN w:val="0"/>
              <w:spacing w:after="0" w:line="240" w:lineRule="auto"/>
              <w:jc w:val="both"/>
              <w:rPr>
                <w:rFonts w:ascii="Calibri" w:eastAsia="Times New Roman" w:hAnsi="Calibri" w:cs="Calibri"/>
                <w:b/>
                <w:bCs/>
                <w:lang w:eastAsia="fr-FR"/>
              </w:rPr>
            </w:pPr>
            <w:r w:rsidRPr="00362DB2">
              <w:rPr>
                <w:rFonts w:ascii="Calibri" w:eastAsia="Times New Roman" w:hAnsi="Calibri" w:cs="Calibri"/>
                <w:b/>
                <w:bCs/>
                <w:color w:val="000000"/>
                <w:lang w:eastAsia="fr-FR"/>
              </w:rPr>
              <w:t xml:space="preserve"> </w:t>
            </w:r>
            <w:r w:rsidRPr="00362DB2">
              <w:rPr>
                <w:rFonts w:ascii="Calibri" w:eastAsia="Times New Roman" w:hAnsi="Calibri" w:cs="Calibri"/>
                <w:b/>
                <w:bCs/>
                <w:lang w:eastAsia="fr-FR"/>
              </w:rPr>
              <w:t xml:space="preserve">Anesthésie locale, </w:t>
            </w:r>
            <w:proofErr w:type="spellStart"/>
            <w:r w:rsidRPr="00362DB2">
              <w:rPr>
                <w:rFonts w:ascii="Calibri" w:eastAsia="Times New Roman" w:hAnsi="Calibri" w:cs="Calibri"/>
                <w:b/>
                <w:bCs/>
                <w:lang w:eastAsia="fr-FR"/>
              </w:rPr>
              <w:t>loco-régionale</w:t>
            </w:r>
            <w:proofErr w:type="spellEnd"/>
            <w:r w:rsidRPr="00362DB2">
              <w:rPr>
                <w:rFonts w:ascii="Calibri" w:eastAsia="Times New Roman" w:hAnsi="Calibri" w:cs="Calibri"/>
                <w:b/>
                <w:bCs/>
                <w:lang w:eastAsia="fr-FR"/>
              </w:rPr>
              <w:t xml:space="preserve"> et générale.   </w:t>
            </w:r>
          </w:p>
          <w:p w:rsidR="00AD4866" w:rsidRPr="00362DB2" w:rsidRDefault="00AD4866" w:rsidP="00380F5D">
            <w:pPr>
              <w:autoSpaceDE w:val="0"/>
              <w:autoSpaceDN w:val="0"/>
              <w:spacing w:after="0" w:line="240" w:lineRule="auto"/>
              <w:jc w:val="both"/>
              <w:rPr>
                <w:rFonts w:ascii="Calibri" w:eastAsia="Times New Roman" w:hAnsi="Calibri" w:cs="Calibri"/>
                <w:lang w:eastAsia="fr-FR"/>
              </w:rPr>
            </w:pPr>
            <w:r w:rsidRPr="00362DB2">
              <w:rPr>
                <w:rFonts w:ascii="Calibri" w:eastAsia="Times New Roman" w:hAnsi="Calibri" w:cs="Calibri"/>
                <w:lang w:eastAsia="fr-FR"/>
              </w:rPr>
              <w:t xml:space="preserve">-Connaitre les indications, </w:t>
            </w:r>
            <w:r w:rsidRPr="00362DB2">
              <w:rPr>
                <w:rFonts w:ascii="Calibri" w:eastAsia="Times New Roman" w:hAnsi="Calibri" w:cs="Calibri"/>
                <w:highlight w:val="yellow"/>
                <w:lang w:eastAsia="fr-FR"/>
              </w:rPr>
              <w:t>les modalités</w:t>
            </w:r>
            <w:r w:rsidRPr="00362DB2">
              <w:rPr>
                <w:rFonts w:ascii="Calibri" w:eastAsia="Times New Roman" w:hAnsi="Calibri" w:cs="Calibri"/>
                <w:lang w:eastAsia="fr-FR"/>
              </w:rPr>
              <w:t xml:space="preserve">, les contre-indications et les risques d’une anesthésie locale, </w:t>
            </w:r>
            <w:proofErr w:type="spellStart"/>
            <w:r w:rsidRPr="00362DB2">
              <w:rPr>
                <w:rFonts w:ascii="Calibri" w:eastAsia="Times New Roman" w:hAnsi="Calibri" w:cs="Calibri"/>
                <w:lang w:eastAsia="fr-FR"/>
              </w:rPr>
              <w:t>loco-régionale</w:t>
            </w:r>
            <w:proofErr w:type="spellEnd"/>
            <w:r w:rsidRPr="00362DB2">
              <w:rPr>
                <w:rFonts w:ascii="Calibri" w:eastAsia="Times New Roman" w:hAnsi="Calibri" w:cs="Calibri"/>
                <w:lang w:eastAsia="fr-FR"/>
              </w:rPr>
              <w:t xml:space="preserve"> ou générale</w:t>
            </w:r>
          </w:p>
          <w:p w:rsidR="00AD4866" w:rsidRPr="00362DB2" w:rsidRDefault="00AD4866" w:rsidP="00380F5D">
            <w:pPr>
              <w:autoSpaceDE w:val="0"/>
              <w:autoSpaceDN w:val="0"/>
              <w:spacing w:after="0" w:line="240" w:lineRule="auto"/>
              <w:jc w:val="both"/>
              <w:rPr>
                <w:rFonts w:ascii="Calibri" w:eastAsia="Times New Roman" w:hAnsi="Calibri" w:cs="Calibri"/>
                <w:lang w:eastAsia="fr-FR"/>
              </w:rPr>
            </w:pPr>
            <w:r w:rsidRPr="00362DB2">
              <w:rPr>
                <w:rFonts w:ascii="Calibri" w:eastAsia="Times New Roman" w:hAnsi="Calibri" w:cs="Calibri"/>
                <w:lang w:eastAsia="fr-FR"/>
              </w:rPr>
              <w:t>-Connaitre l’analgésie obstétricale</w:t>
            </w:r>
          </w:p>
          <w:p w:rsidR="00AD4866" w:rsidRPr="00362DB2" w:rsidRDefault="00AD4866" w:rsidP="00380F5D">
            <w:pPr>
              <w:autoSpaceDE w:val="0"/>
              <w:autoSpaceDN w:val="0"/>
              <w:spacing w:after="0" w:line="240" w:lineRule="auto"/>
              <w:jc w:val="both"/>
              <w:rPr>
                <w:rFonts w:ascii="Calibri" w:eastAsia="Times New Roman" w:hAnsi="Calibri" w:cs="Calibri"/>
                <w:lang w:eastAsia="fr-FR"/>
              </w:rPr>
            </w:pPr>
            <w:r w:rsidRPr="00362DB2">
              <w:rPr>
                <w:rFonts w:ascii="Calibri" w:eastAsia="Times New Roman" w:hAnsi="Calibri" w:cs="Calibri"/>
                <w:lang w:eastAsia="fr-FR"/>
              </w:rPr>
              <w:t xml:space="preserve">-Préciser les obligations réglementaires à respecter avant une anesthésie. </w:t>
            </w:r>
          </w:p>
          <w:p w:rsidR="00AD4866" w:rsidRPr="00362DB2" w:rsidRDefault="00AD4866" w:rsidP="00380F5D">
            <w:pPr>
              <w:spacing w:after="0" w:line="240" w:lineRule="auto"/>
              <w:rPr>
                <w:rFonts w:ascii="Calibri" w:eastAsia="Times New Roman" w:hAnsi="Calibri" w:cs="Calibri"/>
                <w:color w:val="000000"/>
                <w:lang w:eastAsia="fr-FR"/>
              </w:rPr>
            </w:pPr>
          </w:p>
        </w:tc>
      </w:tr>
      <w:tr w:rsidR="00AD4866" w:rsidRPr="00362DB2" w:rsidTr="00380F5D">
        <w:trPr>
          <w:trHeight w:val="255"/>
        </w:trPr>
        <w:tc>
          <w:tcPr>
            <w:tcW w:w="1040" w:type="dxa"/>
            <w:tcBorders>
              <w:top w:val="single" w:sz="4" w:space="0" w:color="auto"/>
              <w:left w:val="single" w:sz="4" w:space="0" w:color="auto"/>
              <w:bottom w:val="single" w:sz="4" w:space="0" w:color="auto"/>
              <w:right w:val="single" w:sz="4" w:space="0" w:color="auto"/>
            </w:tcBorders>
            <w:shd w:val="clear" w:color="auto" w:fill="auto"/>
          </w:tcPr>
          <w:p w:rsidR="00AD4866" w:rsidRPr="00362DB2" w:rsidRDefault="00AD4866" w:rsidP="00380F5D">
            <w:pPr>
              <w:spacing w:after="0" w:line="240" w:lineRule="auto"/>
              <w:jc w:val="right"/>
              <w:rPr>
                <w:rFonts w:ascii="Calibri" w:eastAsia="Times New Roman" w:hAnsi="Calibri" w:cs="Calibri"/>
                <w:color w:val="000000"/>
                <w:lang w:eastAsia="fr-FR"/>
              </w:rPr>
            </w:pPr>
            <w:r w:rsidRPr="00362DB2">
              <w:rPr>
                <w:rFonts w:ascii="Calibri" w:eastAsia="Times New Roman" w:hAnsi="Calibri" w:cs="Calibri"/>
                <w:color w:val="000000"/>
                <w:lang w:eastAsia="fr-FR"/>
              </w:rPr>
              <w:t>137</w:t>
            </w:r>
          </w:p>
        </w:tc>
        <w:tc>
          <w:tcPr>
            <w:tcW w:w="8256" w:type="dxa"/>
            <w:tcBorders>
              <w:top w:val="single" w:sz="4" w:space="0" w:color="auto"/>
              <w:left w:val="nil"/>
              <w:bottom w:val="single" w:sz="4" w:space="0" w:color="auto"/>
              <w:right w:val="single" w:sz="4" w:space="0" w:color="auto"/>
            </w:tcBorders>
            <w:shd w:val="clear" w:color="auto" w:fill="auto"/>
          </w:tcPr>
          <w:p w:rsidR="00AD4866" w:rsidRPr="00362DB2" w:rsidRDefault="00AD4866" w:rsidP="00380F5D">
            <w:pPr>
              <w:autoSpaceDE w:val="0"/>
              <w:autoSpaceDN w:val="0"/>
              <w:spacing w:after="0" w:line="240" w:lineRule="auto"/>
              <w:jc w:val="both"/>
              <w:rPr>
                <w:rFonts w:ascii="Calibri" w:eastAsia="Times New Roman" w:hAnsi="Calibri" w:cs="Calibri"/>
                <w:b/>
                <w:lang w:eastAsia="fr-FR"/>
              </w:rPr>
            </w:pPr>
            <w:r w:rsidRPr="00362DB2">
              <w:rPr>
                <w:rFonts w:ascii="Calibri" w:eastAsia="Times New Roman" w:hAnsi="Calibri" w:cs="Calibri"/>
                <w:b/>
                <w:lang w:eastAsia="fr-FR"/>
              </w:rPr>
              <w:t xml:space="preserve">Douleur chez l’enfant : évaluation et traitements antalgiques.  </w:t>
            </w:r>
          </w:p>
          <w:p w:rsidR="00AD4866" w:rsidRPr="00362DB2" w:rsidRDefault="00AD4866" w:rsidP="00380F5D">
            <w:pPr>
              <w:autoSpaceDE w:val="0"/>
              <w:autoSpaceDN w:val="0"/>
              <w:spacing w:after="0" w:line="240" w:lineRule="auto"/>
              <w:jc w:val="both"/>
              <w:rPr>
                <w:rFonts w:ascii="Calibri" w:eastAsia="Times New Roman" w:hAnsi="Calibri" w:cs="Calibri"/>
                <w:lang w:eastAsia="fr-FR"/>
              </w:rPr>
            </w:pPr>
            <w:r w:rsidRPr="00362DB2">
              <w:rPr>
                <w:rFonts w:ascii="Calibri" w:eastAsia="Times New Roman" w:hAnsi="Calibri" w:cs="Calibri"/>
                <w:lang w:eastAsia="fr-FR"/>
              </w:rPr>
              <w:t>-Savoir évaluer la douleur chez l’enfant par les outils d’évaluation adaptés</w:t>
            </w:r>
          </w:p>
          <w:p w:rsidR="00AD4866" w:rsidRPr="00362DB2" w:rsidRDefault="00AD4866" w:rsidP="00380F5D">
            <w:pPr>
              <w:autoSpaceDE w:val="0"/>
              <w:autoSpaceDN w:val="0"/>
              <w:spacing w:after="0" w:line="240" w:lineRule="auto"/>
              <w:jc w:val="both"/>
              <w:rPr>
                <w:rFonts w:ascii="Calibri" w:eastAsia="Times New Roman" w:hAnsi="Calibri" w:cs="Calibri"/>
                <w:lang w:eastAsia="fr-FR"/>
              </w:rPr>
            </w:pPr>
            <w:r w:rsidRPr="00362DB2">
              <w:rPr>
                <w:rFonts w:ascii="Calibri" w:eastAsia="Times New Roman" w:hAnsi="Calibri" w:cs="Calibri"/>
                <w:lang w:eastAsia="fr-FR"/>
              </w:rPr>
              <w:t>-Repérer, prévenir, et traiter les manifestations douloureuses pouvant accompagner les pathologies de l’enfant.</w:t>
            </w:r>
          </w:p>
          <w:p w:rsidR="00AD4866" w:rsidRPr="00362DB2" w:rsidRDefault="00AD4866" w:rsidP="00380F5D">
            <w:pPr>
              <w:autoSpaceDE w:val="0"/>
              <w:autoSpaceDN w:val="0"/>
              <w:spacing w:after="0" w:line="240" w:lineRule="auto"/>
              <w:jc w:val="both"/>
              <w:rPr>
                <w:rFonts w:ascii="Calibri" w:eastAsia="Times New Roman" w:hAnsi="Calibri" w:cs="Calibri"/>
                <w:lang w:eastAsia="fr-FR"/>
              </w:rPr>
            </w:pPr>
            <w:r w:rsidRPr="00362DB2">
              <w:rPr>
                <w:rFonts w:ascii="Calibri" w:eastAsia="Times New Roman" w:hAnsi="Calibri" w:cs="Calibri"/>
                <w:lang w:eastAsia="fr-FR"/>
              </w:rPr>
              <w:t>-Préciser les médicaments utilisables chez l’enfant selon l’âge, avec les modes d’administration, indications et contre-indications</w:t>
            </w:r>
          </w:p>
          <w:p w:rsidR="00AD4866" w:rsidRPr="00362DB2" w:rsidRDefault="00AD4866" w:rsidP="00380F5D">
            <w:pPr>
              <w:autoSpaceDE w:val="0"/>
              <w:autoSpaceDN w:val="0"/>
              <w:spacing w:after="0" w:line="240" w:lineRule="auto"/>
              <w:jc w:val="both"/>
              <w:rPr>
                <w:rFonts w:ascii="Calibri" w:eastAsia="Times New Roman" w:hAnsi="Calibri" w:cs="Calibri"/>
                <w:lang w:eastAsia="fr-FR"/>
              </w:rPr>
            </w:pPr>
            <w:r w:rsidRPr="00362DB2">
              <w:rPr>
                <w:rFonts w:ascii="Calibri" w:eastAsia="Times New Roman" w:hAnsi="Calibri" w:cs="Calibri"/>
                <w:lang w:eastAsia="fr-FR"/>
              </w:rPr>
              <w:t>-Connaître les moyens non médicamenteux utilisables chez l’enfant</w:t>
            </w:r>
          </w:p>
          <w:p w:rsidR="00AD4866" w:rsidRPr="00362DB2" w:rsidRDefault="00AD4866" w:rsidP="00380F5D">
            <w:pPr>
              <w:spacing w:after="0" w:line="240" w:lineRule="auto"/>
              <w:rPr>
                <w:rFonts w:ascii="Calibri" w:eastAsia="Times New Roman" w:hAnsi="Calibri" w:cs="Calibri"/>
                <w:color w:val="000000"/>
                <w:lang w:eastAsia="fr-FR"/>
              </w:rPr>
            </w:pPr>
          </w:p>
          <w:p w:rsidR="00AD4866" w:rsidRPr="00362DB2" w:rsidRDefault="00AD4866" w:rsidP="00380F5D">
            <w:pPr>
              <w:spacing w:after="0" w:line="240" w:lineRule="auto"/>
              <w:rPr>
                <w:rFonts w:ascii="Calibri" w:eastAsia="Times New Roman" w:hAnsi="Calibri" w:cs="Calibri"/>
                <w:color w:val="000000"/>
                <w:lang w:eastAsia="fr-FR"/>
              </w:rPr>
            </w:pPr>
          </w:p>
        </w:tc>
      </w:tr>
      <w:tr w:rsidR="00AD4866" w:rsidRPr="00362DB2" w:rsidTr="00380F5D">
        <w:trPr>
          <w:trHeight w:val="510"/>
        </w:trPr>
        <w:tc>
          <w:tcPr>
            <w:tcW w:w="1040" w:type="dxa"/>
            <w:tcBorders>
              <w:top w:val="single" w:sz="4" w:space="0" w:color="auto"/>
              <w:left w:val="single" w:sz="4" w:space="0" w:color="auto"/>
              <w:bottom w:val="single" w:sz="4" w:space="0" w:color="auto"/>
              <w:right w:val="single" w:sz="4" w:space="0" w:color="auto"/>
            </w:tcBorders>
            <w:shd w:val="clear" w:color="auto" w:fill="auto"/>
          </w:tcPr>
          <w:p w:rsidR="00AD4866" w:rsidRPr="00362DB2" w:rsidRDefault="00AD4866" w:rsidP="00380F5D">
            <w:pPr>
              <w:spacing w:after="0" w:line="240" w:lineRule="auto"/>
              <w:jc w:val="right"/>
              <w:rPr>
                <w:rFonts w:ascii="Calibri" w:eastAsia="Times New Roman" w:hAnsi="Calibri" w:cs="Calibri"/>
                <w:color w:val="000000"/>
                <w:lang w:eastAsia="fr-FR"/>
              </w:rPr>
            </w:pPr>
            <w:r w:rsidRPr="00362DB2">
              <w:rPr>
                <w:rFonts w:ascii="Calibri" w:eastAsia="Times New Roman" w:hAnsi="Calibri" w:cs="Calibri"/>
                <w:color w:val="000000"/>
                <w:lang w:eastAsia="fr-FR"/>
              </w:rPr>
              <w:t>138</w:t>
            </w:r>
          </w:p>
        </w:tc>
        <w:tc>
          <w:tcPr>
            <w:tcW w:w="8256" w:type="dxa"/>
            <w:tcBorders>
              <w:top w:val="single" w:sz="4" w:space="0" w:color="auto"/>
              <w:left w:val="nil"/>
              <w:bottom w:val="single" w:sz="4" w:space="0" w:color="auto"/>
              <w:right w:val="single" w:sz="4" w:space="0" w:color="auto"/>
            </w:tcBorders>
            <w:shd w:val="clear" w:color="auto" w:fill="auto"/>
          </w:tcPr>
          <w:p w:rsidR="00AD4866" w:rsidRPr="00362DB2" w:rsidRDefault="00AD4866" w:rsidP="00380F5D">
            <w:pPr>
              <w:autoSpaceDE w:val="0"/>
              <w:autoSpaceDN w:val="0"/>
              <w:spacing w:after="0" w:line="240" w:lineRule="auto"/>
              <w:jc w:val="both"/>
              <w:rPr>
                <w:rFonts w:ascii="Calibri" w:eastAsia="Times New Roman" w:hAnsi="Calibri" w:cs="Calibri"/>
                <w:b/>
                <w:bCs/>
                <w:color w:val="000000"/>
                <w:lang w:eastAsia="fr-FR"/>
              </w:rPr>
            </w:pPr>
            <w:r w:rsidRPr="00362DB2">
              <w:rPr>
                <w:rFonts w:ascii="Calibri" w:eastAsia="Times New Roman" w:hAnsi="Calibri" w:cs="Calibri"/>
                <w:b/>
                <w:bCs/>
                <w:color w:val="000000"/>
                <w:lang w:eastAsia="fr-FR"/>
              </w:rPr>
              <w:t xml:space="preserve">Douleur </w:t>
            </w:r>
            <w:r w:rsidRPr="00362DB2">
              <w:rPr>
                <w:rFonts w:ascii="Calibri" w:eastAsia="Times New Roman" w:hAnsi="Calibri" w:cs="Calibri"/>
                <w:b/>
                <w:bCs/>
                <w:color w:val="000000"/>
                <w:highlight w:val="yellow"/>
                <w:lang w:eastAsia="fr-FR"/>
              </w:rPr>
              <w:t>chez la personne vulnérable</w:t>
            </w:r>
          </w:p>
          <w:p w:rsidR="00AD4866" w:rsidRPr="00362DB2" w:rsidRDefault="00AD4866" w:rsidP="00380F5D">
            <w:pPr>
              <w:autoSpaceDE w:val="0"/>
              <w:autoSpaceDN w:val="0"/>
              <w:spacing w:after="0" w:line="240" w:lineRule="auto"/>
              <w:jc w:val="both"/>
              <w:rPr>
                <w:rFonts w:ascii="Calibri" w:eastAsia="Times New Roman" w:hAnsi="Calibri" w:cs="Calibri"/>
                <w:lang w:eastAsia="fr-FR"/>
              </w:rPr>
            </w:pPr>
            <w:r w:rsidRPr="00362DB2">
              <w:rPr>
                <w:rFonts w:ascii="Calibri" w:eastAsia="Times New Roman" w:hAnsi="Calibri" w:cs="Calibri"/>
                <w:lang w:eastAsia="fr-FR"/>
              </w:rPr>
              <w:t>-Repérer, prévenir, et traiter les manifestations douloureuses chez le patient psychiatrique et la personne atteinte de troubles envahissants du développement.</w:t>
            </w:r>
          </w:p>
          <w:p w:rsidR="00AD4866" w:rsidRPr="00362DB2" w:rsidRDefault="00AD4866" w:rsidP="00380F5D">
            <w:pPr>
              <w:autoSpaceDE w:val="0"/>
              <w:autoSpaceDN w:val="0"/>
              <w:spacing w:after="0" w:line="240" w:lineRule="auto"/>
              <w:ind w:left="720"/>
              <w:jc w:val="both"/>
              <w:rPr>
                <w:rFonts w:ascii="Calibri" w:eastAsia="Times New Roman" w:hAnsi="Calibri" w:cs="Calibri"/>
                <w:color w:val="000000"/>
                <w:lang w:eastAsia="fr-FR"/>
              </w:rPr>
            </w:pPr>
          </w:p>
        </w:tc>
      </w:tr>
      <w:tr w:rsidR="00AD4866" w:rsidRPr="00362DB2" w:rsidTr="00380F5D">
        <w:trPr>
          <w:trHeight w:val="510"/>
        </w:trPr>
        <w:tc>
          <w:tcPr>
            <w:tcW w:w="1040" w:type="dxa"/>
            <w:tcBorders>
              <w:top w:val="single" w:sz="4" w:space="0" w:color="auto"/>
              <w:left w:val="single" w:sz="4" w:space="0" w:color="auto"/>
              <w:bottom w:val="single" w:sz="4" w:space="0" w:color="auto"/>
              <w:right w:val="single" w:sz="4" w:space="0" w:color="auto"/>
            </w:tcBorders>
            <w:shd w:val="clear" w:color="auto" w:fill="auto"/>
          </w:tcPr>
          <w:p w:rsidR="00AD4866" w:rsidRPr="00362DB2" w:rsidRDefault="00AD4866" w:rsidP="00380F5D">
            <w:pPr>
              <w:spacing w:after="0" w:line="240" w:lineRule="auto"/>
              <w:jc w:val="right"/>
              <w:rPr>
                <w:rFonts w:ascii="Calibri" w:eastAsia="Times New Roman" w:hAnsi="Calibri" w:cs="Calibri"/>
                <w:color w:val="000000"/>
                <w:lang w:eastAsia="fr-FR"/>
              </w:rPr>
            </w:pPr>
            <w:r w:rsidRPr="00362DB2">
              <w:rPr>
                <w:rFonts w:ascii="Calibri" w:eastAsia="Times New Roman" w:hAnsi="Calibri" w:cs="Calibri"/>
                <w:color w:val="000000"/>
                <w:lang w:eastAsia="fr-FR"/>
              </w:rPr>
              <w:t>139</w:t>
            </w:r>
          </w:p>
        </w:tc>
        <w:tc>
          <w:tcPr>
            <w:tcW w:w="8256" w:type="dxa"/>
            <w:tcBorders>
              <w:top w:val="single" w:sz="4" w:space="0" w:color="auto"/>
              <w:left w:val="nil"/>
              <w:bottom w:val="single" w:sz="4" w:space="0" w:color="auto"/>
              <w:right w:val="single" w:sz="4" w:space="0" w:color="auto"/>
            </w:tcBorders>
            <w:shd w:val="clear" w:color="auto" w:fill="auto"/>
          </w:tcPr>
          <w:p w:rsidR="00AD4866" w:rsidRPr="00362DB2" w:rsidRDefault="00AD4866" w:rsidP="00380F5D">
            <w:pPr>
              <w:spacing w:after="0" w:line="240" w:lineRule="auto"/>
              <w:rPr>
                <w:rFonts w:ascii="Calibri" w:eastAsia="MS Minngs" w:hAnsi="Calibri" w:cs="Calibri"/>
                <w:b/>
                <w:bCs/>
              </w:rPr>
            </w:pPr>
            <w:r w:rsidRPr="00362DB2">
              <w:rPr>
                <w:rFonts w:ascii="Calibri" w:eastAsia="MS Minngs" w:hAnsi="Calibri" w:cs="Calibri"/>
                <w:color w:val="000000"/>
              </w:rPr>
              <w:t xml:space="preserve"> </w:t>
            </w:r>
            <w:r w:rsidRPr="00362DB2">
              <w:rPr>
                <w:rFonts w:ascii="Calibri" w:eastAsia="MS Minngs" w:hAnsi="Calibri" w:cs="Calibri"/>
                <w:b/>
                <w:bCs/>
              </w:rPr>
              <w:t>Soins palliatifs pluridisciplinaires chez un malade en phase palliative ou terminale d’une maladie grave, chronique ou létale (1). Principaux repères cliniques. Modalités d’organisation des équipes, en établissement de santé et en ambulatoire</w:t>
            </w:r>
          </w:p>
          <w:p w:rsidR="00AD4866" w:rsidRPr="00362DB2" w:rsidRDefault="00AD4866" w:rsidP="00380F5D">
            <w:pPr>
              <w:autoSpaceDE w:val="0"/>
              <w:autoSpaceDN w:val="0"/>
              <w:spacing w:after="0" w:line="240" w:lineRule="auto"/>
              <w:jc w:val="both"/>
              <w:rPr>
                <w:rFonts w:ascii="Calibri" w:eastAsia="Times New Roman" w:hAnsi="Calibri" w:cs="Calibri"/>
                <w:b/>
                <w:lang w:eastAsia="fr-FR"/>
              </w:rPr>
            </w:pPr>
            <w:r w:rsidRPr="00362DB2">
              <w:rPr>
                <w:rFonts w:ascii="Calibri" w:eastAsia="Times New Roman" w:hAnsi="Calibri" w:cs="Calibri"/>
                <w:lang w:eastAsia="fr-FR"/>
              </w:rPr>
              <w:t>-</w:t>
            </w:r>
            <w:r w:rsidRPr="00362DB2" w:rsidDel="00547366">
              <w:rPr>
                <w:rFonts w:ascii="Calibri" w:eastAsia="Times New Roman" w:hAnsi="Calibri" w:cs="Calibri"/>
                <w:lang w:eastAsia="fr-FR"/>
              </w:rPr>
              <w:t xml:space="preserve"> </w:t>
            </w:r>
            <w:r w:rsidRPr="00362DB2">
              <w:rPr>
                <w:rFonts w:ascii="Calibri" w:eastAsia="Times New Roman" w:hAnsi="Calibri" w:cs="Calibri"/>
                <w:lang w:eastAsia="fr-FR"/>
              </w:rPr>
              <w:t xml:space="preserve">Identifier une situation relevant des soins palliatifs </w:t>
            </w:r>
          </w:p>
          <w:p w:rsidR="00AD4866" w:rsidRPr="00362DB2" w:rsidRDefault="00AD4866" w:rsidP="00380F5D">
            <w:pPr>
              <w:spacing w:after="0" w:line="240" w:lineRule="auto"/>
              <w:rPr>
                <w:rFonts w:ascii="Calibri" w:eastAsia="MS Minngs" w:hAnsi="Calibri" w:cs="Calibri"/>
              </w:rPr>
            </w:pPr>
            <w:r w:rsidRPr="00362DB2">
              <w:rPr>
                <w:rFonts w:ascii="Calibri" w:eastAsia="MS Minngs" w:hAnsi="Calibri" w:cs="Calibri"/>
              </w:rPr>
              <w:t>- Connaître les étapes d’une démarche de soins, de traitement et d’accompagnement du patient et de son entourage lors des situations les plus fréquemment rencontrées en phase palliative ou terminale des maladies graves, chroniques ou létales : acquérir les compétences nécessaires en soins palliatifs pour faire face aux situations les plus fréquemment rencontrées lors des phases palliatives ou terminales des maladies graves, chroniques ou létales (traitement des symptômes respiratoires, digestifs, buccaux, neurologiques, psychiatriques, agoniques…).</w:t>
            </w:r>
          </w:p>
          <w:p w:rsidR="00AD4866" w:rsidRDefault="00AD4866" w:rsidP="00380F5D">
            <w:pPr>
              <w:spacing w:after="0" w:line="240" w:lineRule="auto"/>
              <w:rPr>
                <w:rFonts w:ascii="Calibri" w:eastAsia="MS Minngs" w:hAnsi="Calibri" w:cs="Calibri"/>
              </w:rPr>
            </w:pPr>
            <w:r w:rsidRPr="00362DB2">
              <w:rPr>
                <w:rFonts w:ascii="Calibri" w:eastAsia="MS Minngs" w:hAnsi="Calibri" w:cs="Calibri"/>
              </w:rPr>
              <w:t>- Connaître l’organisation des soins palliatifs en France et savoir faire appel à des équipes ressource ou à des services de recours.</w:t>
            </w:r>
          </w:p>
          <w:p w:rsidR="00AD4866" w:rsidRPr="00362DB2" w:rsidRDefault="00AD4866" w:rsidP="00380F5D">
            <w:pPr>
              <w:spacing w:after="0" w:line="240" w:lineRule="auto"/>
              <w:rPr>
                <w:rFonts w:ascii="Calibri" w:eastAsia="MS Minngs" w:hAnsi="Calibri" w:cs="Calibri"/>
                <w:color w:val="000000"/>
              </w:rPr>
            </w:pPr>
          </w:p>
        </w:tc>
      </w:tr>
      <w:tr w:rsidR="00AD4866" w:rsidRPr="00362DB2" w:rsidTr="00380F5D">
        <w:trPr>
          <w:trHeight w:val="510"/>
        </w:trPr>
        <w:tc>
          <w:tcPr>
            <w:tcW w:w="1040" w:type="dxa"/>
            <w:tcBorders>
              <w:top w:val="single" w:sz="4" w:space="0" w:color="auto"/>
              <w:left w:val="single" w:sz="4" w:space="0" w:color="auto"/>
              <w:bottom w:val="single" w:sz="4" w:space="0" w:color="auto"/>
              <w:right w:val="single" w:sz="4" w:space="0" w:color="auto"/>
            </w:tcBorders>
            <w:shd w:val="clear" w:color="auto" w:fill="auto"/>
          </w:tcPr>
          <w:p w:rsidR="00AD4866" w:rsidRPr="00362DB2" w:rsidRDefault="00AD4866" w:rsidP="00380F5D">
            <w:pPr>
              <w:spacing w:after="0" w:line="240" w:lineRule="auto"/>
              <w:jc w:val="right"/>
              <w:rPr>
                <w:rFonts w:ascii="Calibri" w:eastAsia="Times New Roman" w:hAnsi="Calibri" w:cs="Calibri"/>
                <w:color w:val="000000"/>
                <w:lang w:eastAsia="fr-FR"/>
              </w:rPr>
            </w:pPr>
            <w:r w:rsidRPr="00362DB2">
              <w:rPr>
                <w:rFonts w:ascii="Calibri" w:eastAsia="Times New Roman" w:hAnsi="Calibri" w:cs="Calibri"/>
                <w:color w:val="000000"/>
                <w:lang w:eastAsia="fr-FR"/>
              </w:rPr>
              <w:lastRenderedPageBreak/>
              <w:t>140</w:t>
            </w:r>
          </w:p>
        </w:tc>
        <w:tc>
          <w:tcPr>
            <w:tcW w:w="8256" w:type="dxa"/>
            <w:tcBorders>
              <w:top w:val="single" w:sz="4" w:space="0" w:color="auto"/>
              <w:left w:val="nil"/>
              <w:bottom w:val="single" w:sz="4" w:space="0" w:color="auto"/>
              <w:right w:val="single" w:sz="4" w:space="0" w:color="auto"/>
            </w:tcBorders>
            <w:shd w:val="clear" w:color="auto" w:fill="auto"/>
          </w:tcPr>
          <w:p w:rsidR="00AD4866" w:rsidRPr="00362DB2" w:rsidRDefault="00AD4866" w:rsidP="00380F5D">
            <w:pPr>
              <w:spacing w:after="0" w:line="240" w:lineRule="auto"/>
              <w:rPr>
                <w:rFonts w:ascii="Calibri" w:eastAsia="MS Minngs" w:hAnsi="Calibri" w:cs="Calibri"/>
                <w:b/>
              </w:rPr>
            </w:pPr>
            <w:r w:rsidRPr="00362DB2">
              <w:rPr>
                <w:rFonts w:ascii="Calibri" w:eastAsia="MS Minngs" w:hAnsi="Calibri" w:cs="Calibri"/>
                <w:b/>
              </w:rPr>
              <w:t>Soins palliatifs pluridisciplinaires chez un malade en phase palliative ou terminale d’une maladie grave, chronique ou létale (2). Accompagnement de la personne malade et de son entourage. Principaux repères éthiques.</w:t>
            </w:r>
          </w:p>
          <w:p w:rsidR="00AD4866" w:rsidRPr="00362DB2" w:rsidRDefault="00AD4866" w:rsidP="00380F5D">
            <w:pPr>
              <w:spacing w:after="0" w:line="240" w:lineRule="auto"/>
              <w:rPr>
                <w:rFonts w:ascii="Calibri" w:eastAsia="MS Minngs" w:hAnsi="Calibri" w:cs="Calibri"/>
              </w:rPr>
            </w:pPr>
            <w:r w:rsidRPr="00362DB2">
              <w:rPr>
                <w:rFonts w:ascii="Calibri" w:eastAsia="MS Minngs" w:hAnsi="Calibri" w:cs="Calibri"/>
              </w:rPr>
              <w:t xml:space="preserve">- Se comporter de façon appropriée avec une personne atteinte de maladie létale. Savoir communiquer avec les personnes malades et leurs proches lorsque la visée principale des traitements devient palliative. Connaître les mécanismes psycho-adaptatifs du patient atteint de maladie grave. Connaître des repères pour être en relation et accompagner une personne malade et son entourage.  </w:t>
            </w:r>
          </w:p>
          <w:p w:rsidR="00AD4866" w:rsidRPr="00362DB2" w:rsidRDefault="00AD4866" w:rsidP="00380F5D">
            <w:pPr>
              <w:spacing w:after="0" w:line="240" w:lineRule="auto"/>
              <w:rPr>
                <w:rFonts w:ascii="Calibri" w:eastAsia="MS Minngs" w:hAnsi="Calibri" w:cs="Calibri"/>
              </w:rPr>
            </w:pPr>
            <w:r w:rsidRPr="00362DB2">
              <w:rPr>
                <w:rFonts w:ascii="Calibri" w:eastAsia="MS Minngs" w:hAnsi="Calibri" w:cs="Calibri"/>
              </w:rPr>
              <w:t>- Se comporter de façon adaptée lorsqu’un patient formule un refus de traitement ou un souhait de mourir.</w:t>
            </w:r>
          </w:p>
          <w:p w:rsidR="00AD4866" w:rsidRPr="00362DB2" w:rsidRDefault="00AD4866" w:rsidP="00380F5D">
            <w:pPr>
              <w:spacing w:after="0" w:line="240" w:lineRule="auto"/>
              <w:rPr>
                <w:rFonts w:ascii="Calibri" w:eastAsia="MS Minngs" w:hAnsi="Calibri" w:cs="Calibri"/>
              </w:rPr>
            </w:pPr>
            <w:r w:rsidRPr="00362DB2">
              <w:rPr>
                <w:rFonts w:ascii="Calibri" w:eastAsia="MS Minngs" w:hAnsi="Calibri" w:cs="Calibri"/>
              </w:rPr>
              <w:t xml:space="preserve"> - Aborder les questions éthiques, légales et sociétales posées lors des phases palliatives ou terminales d’une maladie grave, chronique ou létale.</w:t>
            </w:r>
          </w:p>
          <w:p w:rsidR="00AD4866" w:rsidRPr="00362DB2" w:rsidRDefault="00AD4866" w:rsidP="00380F5D">
            <w:pPr>
              <w:spacing w:after="0" w:line="240" w:lineRule="auto"/>
              <w:rPr>
                <w:rFonts w:ascii="Calibri" w:eastAsia="MS Minngs" w:hAnsi="Calibri" w:cs="Calibri"/>
              </w:rPr>
            </w:pPr>
            <w:r w:rsidRPr="00362DB2">
              <w:rPr>
                <w:rFonts w:ascii="Calibri" w:eastAsia="MS Minngs" w:hAnsi="Calibri" w:cs="Calibri"/>
              </w:rPr>
              <w:t>- Participer à une délibération, personnelle et collective, et à une prise de décision dans les situations où se pose un questionnement relatif à des investigations, des orientations de traitements (notion de proportionnalité) : hydratation ou nutrition artificielles, transfusion, antibiotique, corticoïdes, anticoagulants, chimiothérapies.</w:t>
            </w:r>
          </w:p>
        </w:tc>
      </w:tr>
      <w:tr w:rsidR="00AD4866" w:rsidRPr="00362DB2" w:rsidTr="00380F5D">
        <w:trPr>
          <w:trHeight w:val="510"/>
        </w:trPr>
        <w:tc>
          <w:tcPr>
            <w:tcW w:w="1040" w:type="dxa"/>
            <w:tcBorders>
              <w:top w:val="single" w:sz="4" w:space="0" w:color="auto"/>
              <w:left w:val="single" w:sz="4" w:space="0" w:color="auto"/>
              <w:bottom w:val="single" w:sz="4" w:space="0" w:color="auto"/>
              <w:right w:val="single" w:sz="4" w:space="0" w:color="auto"/>
            </w:tcBorders>
            <w:shd w:val="clear" w:color="auto" w:fill="auto"/>
          </w:tcPr>
          <w:p w:rsidR="00AD4866" w:rsidRPr="00362DB2" w:rsidRDefault="00AD4866" w:rsidP="00380F5D">
            <w:pPr>
              <w:spacing w:after="0" w:line="240" w:lineRule="auto"/>
              <w:jc w:val="right"/>
              <w:rPr>
                <w:rFonts w:ascii="Calibri" w:eastAsia="Times New Roman" w:hAnsi="Calibri" w:cs="Calibri"/>
                <w:color w:val="000000"/>
                <w:lang w:eastAsia="fr-FR"/>
              </w:rPr>
            </w:pPr>
            <w:r w:rsidRPr="00362DB2">
              <w:rPr>
                <w:rFonts w:ascii="Calibri" w:eastAsia="Times New Roman" w:hAnsi="Calibri" w:cs="Calibri"/>
                <w:color w:val="000000"/>
                <w:lang w:eastAsia="fr-FR"/>
              </w:rPr>
              <w:t>141</w:t>
            </w:r>
          </w:p>
        </w:tc>
        <w:tc>
          <w:tcPr>
            <w:tcW w:w="8256" w:type="dxa"/>
            <w:tcBorders>
              <w:top w:val="single" w:sz="4" w:space="0" w:color="auto"/>
              <w:left w:val="nil"/>
              <w:bottom w:val="single" w:sz="4" w:space="0" w:color="auto"/>
              <w:right w:val="single" w:sz="4" w:space="0" w:color="auto"/>
            </w:tcBorders>
            <w:shd w:val="clear" w:color="auto" w:fill="auto"/>
          </w:tcPr>
          <w:p w:rsidR="00AD4866" w:rsidRPr="00362DB2" w:rsidRDefault="00AD4866" w:rsidP="00380F5D">
            <w:pPr>
              <w:spacing w:after="0" w:line="240" w:lineRule="auto"/>
              <w:rPr>
                <w:rFonts w:ascii="Calibri" w:eastAsia="MS Minngs" w:hAnsi="Calibri" w:cs="Calibri"/>
                <w:b/>
              </w:rPr>
            </w:pPr>
            <w:r w:rsidRPr="00362DB2">
              <w:rPr>
                <w:rFonts w:ascii="Calibri" w:eastAsia="MS Minngs" w:hAnsi="Calibri" w:cs="Calibri"/>
                <w:b/>
              </w:rPr>
              <w:t>Soins palliatifs pluridisciplinaires chez un malade en phase palliative ou terminale d’une maladie grave, chronique ou létale (2). La sédation pour détresse en phase terminale et dans des situations spécifiques et complexes en fin de vie. Réponse à la demande d’euthanasie ou de suicide assisté</w:t>
            </w:r>
          </w:p>
          <w:p w:rsidR="00AD4866" w:rsidRPr="00362DB2" w:rsidRDefault="00AD4866" w:rsidP="00380F5D">
            <w:pPr>
              <w:spacing w:after="0" w:line="240" w:lineRule="auto"/>
              <w:rPr>
                <w:rFonts w:ascii="Calibri" w:eastAsia="MS Minngs" w:hAnsi="Calibri" w:cs="Calibri"/>
              </w:rPr>
            </w:pPr>
            <w:r w:rsidRPr="00362DB2">
              <w:rPr>
                <w:rFonts w:ascii="Calibri" w:eastAsia="MS Minngs" w:hAnsi="Calibri" w:cs="Calibri"/>
              </w:rPr>
              <w:t xml:space="preserve">- Connaître les indications de la sédation. </w:t>
            </w:r>
          </w:p>
          <w:p w:rsidR="00AD4866" w:rsidRPr="00362DB2" w:rsidRDefault="00AD4866" w:rsidP="00380F5D">
            <w:pPr>
              <w:spacing w:after="0" w:line="240" w:lineRule="auto"/>
              <w:rPr>
                <w:rFonts w:ascii="Calibri" w:eastAsia="MS Minngs" w:hAnsi="Calibri" w:cs="Calibri"/>
              </w:rPr>
            </w:pPr>
            <w:r w:rsidRPr="00362DB2">
              <w:rPr>
                <w:rFonts w:ascii="Calibri" w:eastAsia="MS Minngs" w:hAnsi="Calibri" w:cs="Calibri"/>
              </w:rPr>
              <w:t>- Savoir délibérer individuellement et collectivement pour aboutir à une décision de sédation.</w:t>
            </w:r>
          </w:p>
          <w:p w:rsidR="00AD4866" w:rsidRPr="00362DB2" w:rsidRDefault="00AD4866" w:rsidP="00380F5D">
            <w:pPr>
              <w:spacing w:after="0" w:line="240" w:lineRule="auto"/>
              <w:rPr>
                <w:rFonts w:ascii="Calibri" w:eastAsia="MS Minngs" w:hAnsi="Calibri" w:cs="Calibri"/>
              </w:rPr>
            </w:pPr>
            <w:r w:rsidRPr="00362DB2">
              <w:rPr>
                <w:rFonts w:ascii="Calibri" w:eastAsia="MS Minngs" w:hAnsi="Calibri" w:cs="Calibri"/>
              </w:rPr>
              <w:t>- Savoir mettre en œuvre et évaluer les effets d’une sédation pour un patient atteint de maladie létale.</w:t>
            </w:r>
          </w:p>
          <w:p w:rsidR="00AD4866" w:rsidRPr="00362DB2" w:rsidRDefault="00AD4866" w:rsidP="00380F5D">
            <w:pPr>
              <w:spacing w:after="0" w:line="240" w:lineRule="auto"/>
              <w:rPr>
                <w:rFonts w:ascii="Calibri" w:eastAsia="MS Minngs" w:hAnsi="Calibri" w:cs="Calibri"/>
              </w:rPr>
            </w:pPr>
            <w:r>
              <w:rPr>
                <w:rFonts w:ascii="Calibri" w:eastAsia="MS Minngs" w:hAnsi="Calibri" w:cs="Calibri"/>
              </w:rPr>
              <w:t xml:space="preserve">- Comprendre </w:t>
            </w:r>
            <w:r w:rsidRPr="00362DB2">
              <w:rPr>
                <w:rFonts w:ascii="Calibri" w:eastAsia="MS Minngs" w:hAnsi="Calibri" w:cs="Calibri"/>
              </w:rPr>
              <w:t xml:space="preserve">la distinction entre une sédation pour détresse en phase terminale et une euthanasie. </w:t>
            </w:r>
          </w:p>
          <w:p w:rsidR="00AD4866" w:rsidRPr="00362DB2" w:rsidRDefault="00AD4866" w:rsidP="00380F5D">
            <w:pPr>
              <w:spacing w:after="0" w:line="240" w:lineRule="auto"/>
              <w:rPr>
                <w:rFonts w:ascii="Calibri" w:eastAsia="MS Minngs" w:hAnsi="Calibri" w:cs="Calibri"/>
              </w:rPr>
            </w:pPr>
            <w:r w:rsidRPr="00362DB2">
              <w:rPr>
                <w:rFonts w:ascii="Calibri" w:eastAsia="MS Minngs" w:hAnsi="Calibri" w:cs="Calibri"/>
              </w:rPr>
              <w:t>- Savoir analyser une demande d’euthanasie ou de suicide assisté et apporter par tous les moyens légaux une réponse à la détresse qui sous-tend une telle demande.</w:t>
            </w:r>
          </w:p>
        </w:tc>
      </w:tr>
      <w:tr w:rsidR="00AD4866" w:rsidRPr="00362DB2" w:rsidTr="00380F5D">
        <w:trPr>
          <w:trHeight w:val="510"/>
        </w:trPr>
        <w:tc>
          <w:tcPr>
            <w:tcW w:w="1040" w:type="dxa"/>
            <w:tcBorders>
              <w:top w:val="single" w:sz="4" w:space="0" w:color="auto"/>
              <w:left w:val="single" w:sz="4" w:space="0" w:color="auto"/>
              <w:bottom w:val="single" w:sz="4" w:space="0" w:color="auto"/>
              <w:right w:val="single" w:sz="4" w:space="0" w:color="auto"/>
            </w:tcBorders>
            <w:shd w:val="clear" w:color="auto" w:fill="auto"/>
          </w:tcPr>
          <w:p w:rsidR="00AD4866" w:rsidRPr="00362DB2" w:rsidRDefault="00AD4866" w:rsidP="00380F5D">
            <w:pPr>
              <w:spacing w:after="0" w:line="240" w:lineRule="auto"/>
              <w:jc w:val="right"/>
              <w:rPr>
                <w:rFonts w:ascii="Calibri" w:eastAsia="Times New Roman" w:hAnsi="Calibri" w:cs="Calibri"/>
                <w:color w:val="000000"/>
                <w:lang w:eastAsia="fr-FR"/>
              </w:rPr>
            </w:pPr>
            <w:r w:rsidRPr="00362DB2">
              <w:rPr>
                <w:rFonts w:ascii="Calibri" w:eastAsia="Times New Roman" w:hAnsi="Calibri" w:cs="Calibri"/>
                <w:color w:val="000000"/>
                <w:lang w:eastAsia="fr-FR"/>
              </w:rPr>
              <w:t>142</w:t>
            </w:r>
          </w:p>
        </w:tc>
        <w:tc>
          <w:tcPr>
            <w:tcW w:w="8256" w:type="dxa"/>
            <w:tcBorders>
              <w:top w:val="single" w:sz="4" w:space="0" w:color="auto"/>
              <w:left w:val="nil"/>
              <w:bottom w:val="single" w:sz="4" w:space="0" w:color="auto"/>
              <w:right w:val="single" w:sz="4" w:space="0" w:color="auto"/>
            </w:tcBorders>
            <w:shd w:val="clear" w:color="auto" w:fill="auto"/>
          </w:tcPr>
          <w:p w:rsidR="00AD4866" w:rsidRPr="00362DB2" w:rsidRDefault="00AD4866" w:rsidP="00380F5D">
            <w:pPr>
              <w:autoSpaceDE w:val="0"/>
              <w:autoSpaceDN w:val="0"/>
              <w:spacing w:after="0" w:line="240" w:lineRule="auto"/>
              <w:jc w:val="both"/>
              <w:rPr>
                <w:rFonts w:ascii="Calibri" w:eastAsia="Times New Roman" w:hAnsi="Calibri" w:cs="Calibri"/>
                <w:b/>
                <w:bCs/>
                <w:color w:val="000000"/>
                <w:lang w:eastAsia="fr-FR"/>
              </w:rPr>
            </w:pPr>
            <w:r w:rsidRPr="00362DB2">
              <w:rPr>
                <w:rFonts w:ascii="Calibri" w:eastAsia="Times New Roman" w:hAnsi="Calibri" w:cs="Calibri"/>
                <w:b/>
                <w:bCs/>
                <w:color w:val="000000"/>
                <w:lang w:eastAsia="fr-FR"/>
              </w:rPr>
              <w:t>Connaître les aspects spécifiques des soins palliatifs en pédiatrie</w:t>
            </w:r>
          </w:p>
          <w:p w:rsidR="00AD4866" w:rsidRPr="00362DB2" w:rsidRDefault="00AD4866" w:rsidP="00380F5D">
            <w:pPr>
              <w:autoSpaceDE w:val="0"/>
              <w:autoSpaceDN w:val="0"/>
              <w:spacing w:after="0" w:line="240" w:lineRule="auto"/>
              <w:jc w:val="both"/>
              <w:rPr>
                <w:rFonts w:ascii="Calibri" w:eastAsia="Times New Roman" w:hAnsi="Calibri" w:cs="Calibri"/>
                <w:color w:val="000000"/>
                <w:lang w:eastAsia="fr-FR"/>
              </w:rPr>
            </w:pPr>
            <w:r w:rsidRPr="00362DB2">
              <w:rPr>
                <w:rFonts w:ascii="Calibri" w:eastAsia="Times New Roman" w:hAnsi="Calibri" w:cs="Calibri"/>
                <w:color w:val="000000"/>
                <w:lang w:eastAsia="fr-FR"/>
              </w:rPr>
              <w:t>-Connaitre les spécificités des soins palliat</w:t>
            </w:r>
            <w:r>
              <w:rPr>
                <w:rFonts w:ascii="Calibri" w:eastAsia="Times New Roman" w:hAnsi="Calibri" w:cs="Calibri"/>
                <w:color w:val="000000"/>
                <w:lang w:eastAsia="fr-FR"/>
              </w:rPr>
              <w:t xml:space="preserve">ifs associés aux situations de </w:t>
            </w:r>
            <w:r w:rsidRPr="00362DB2">
              <w:rPr>
                <w:rFonts w:ascii="Calibri" w:eastAsia="Times New Roman" w:hAnsi="Calibri" w:cs="Calibri"/>
                <w:color w:val="000000"/>
                <w:lang w:eastAsia="fr-FR"/>
              </w:rPr>
              <w:t>maternité, périnatalité, réanimation néonatale</w:t>
            </w:r>
          </w:p>
          <w:p w:rsidR="00AD4866" w:rsidRPr="00362DB2" w:rsidRDefault="00AD4866" w:rsidP="00380F5D">
            <w:pPr>
              <w:autoSpaceDE w:val="0"/>
              <w:autoSpaceDN w:val="0"/>
              <w:spacing w:after="0" w:line="240" w:lineRule="auto"/>
              <w:jc w:val="both"/>
              <w:rPr>
                <w:rFonts w:ascii="Calibri" w:eastAsia="Times New Roman" w:hAnsi="Calibri" w:cs="Calibri"/>
                <w:color w:val="000000"/>
                <w:lang w:eastAsia="fr-FR"/>
              </w:rPr>
            </w:pPr>
            <w:r w:rsidRPr="00362DB2">
              <w:rPr>
                <w:rFonts w:ascii="Calibri" w:eastAsia="Times New Roman" w:hAnsi="Calibri" w:cs="Calibri"/>
                <w:color w:val="000000"/>
                <w:lang w:eastAsia="fr-FR"/>
              </w:rPr>
              <w:t>-Connaitre les caractéristiques du deuil périnatal</w:t>
            </w:r>
          </w:p>
        </w:tc>
      </w:tr>
      <w:tr w:rsidR="00AD4866" w:rsidRPr="00362DB2" w:rsidTr="00380F5D">
        <w:trPr>
          <w:trHeight w:val="510"/>
        </w:trPr>
        <w:tc>
          <w:tcPr>
            <w:tcW w:w="1040" w:type="dxa"/>
            <w:tcBorders>
              <w:top w:val="single" w:sz="4" w:space="0" w:color="auto"/>
              <w:left w:val="single" w:sz="4" w:space="0" w:color="auto"/>
              <w:bottom w:val="single" w:sz="4" w:space="0" w:color="auto"/>
              <w:right w:val="single" w:sz="4" w:space="0" w:color="auto"/>
            </w:tcBorders>
            <w:shd w:val="clear" w:color="auto" w:fill="auto"/>
          </w:tcPr>
          <w:p w:rsidR="00AD4866" w:rsidRPr="00362DB2" w:rsidRDefault="00AD4866" w:rsidP="00380F5D">
            <w:pPr>
              <w:spacing w:after="0" w:line="240" w:lineRule="auto"/>
              <w:jc w:val="right"/>
              <w:rPr>
                <w:rFonts w:ascii="Calibri" w:eastAsia="Times New Roman" w:hAnsi="Calibri" w:cs="Calibri"/>
                <w:color w:val="000000"/>
                <w:lang w:eastAsia="fr-FR"/>
              </w:rPr>
            </w:pPr>
            <w:r w:rsidRPr="00362DB2">
              <w:rPr>
                <w:rFonts w:ascii="Calibri" w:eastAsia="Times New Roman" w:hAnsi="Calibri" w:cs="Calibri"/>
                <w:color w:val="000000"/>
                <w:lang w:eastAsia="fr-FR"/>
              </w:rPr>
              <w:t>143</w:t>
            </w:r>
          </w:p>
        </w:tc>
        <w:tc>
          <w:tcPr>
            <w:tcW w:w="8256" w:type="dxa"/>
            <w:tcBorders>
              <w:top w:val="single" w:sz="4" w:space="0" w:color="auto"/>
              <w:left w:val="nil"/>
              <w:bottom w:val="single" w:sz="4" w:space="0" w:color="auto"/>
              <w:right w:val="single" w:sz="4" w:space="0" w:color="auto"/>
            </w:tcBorders>
            <w:shd w:val="clear" w:color="auto" w:fill="auto"/>
          </w:tcPr>
          <w:p w:rsidR="00AD4866" w:rsidRPr="00362DB2" w:rsidRDefault="00AD4866" w:rsidP="00380F5D">
            <w:pPr>
              <w:autoSpaceDE w:val="0"/>
              <w:autoSpaceDN w:val="0"/>
              <w:spacing w:after="0" w:line="240" w:lineRule="auto"/>
              <w:jc w:val="both"/>
              <w:rPr>
                <w:rFonts w:ascii="Calibri" w:eastAsia="Times New Roman" w:hAnsi="Calibri" w:cs="Calibri"/>
                <w:b/>
                <w:bCs/>
                <w:color w:val="000000"/>
                <w:lang w:eastAsia="fr-FR"/>
              </w:rPr>
            </w:pPr>
            <w:r w:rsidRPr="00362DB2">
              <w:rPr>
                <w:rFonts w:ascii="Calibri" w:eastAsia="Times New Roman" w:hAnsi="Calibri" w:cs="Calibri"/>
                <w:b/>
                <w:bCs/>
                <w:color w:val="000000"/>
                <w:lang w:eastAsia="fr-FR"/>
              </w:rPr>
              <w:t>Connaître les aspects spécifiques des soins palliatifs en réanimation</w:t>
            </w:r>
          </w:p>
          <w:p w:rsidR="00AD4866" w:rsidRPr="00362DB2" w:rsidRDefault="00AD4866" w:rsidP="00380F5D">
            <w:pPr>
              <w:autoSpaceDE w:val="0"/>
              <w:autoSpaceDN w:val="0"/>
              <w:spacing w:after="0" w:line="240" w:lineRule="auto"/>
              <w:jc w:val="both"/>
              <w:rPr>
                <w:rFonts w:ascii="Calibri" w:eastAsia="Times New Roman" w:hAnsi="Calibri" w:cs="Calibri"/>
                <w:color w:val="000000"/>
                <w:lang w:eastAsia="fr-FR"/>
              </w:rPr>
            </w:pPr>
            <w:r w:rsidRPr="00362DB2">
              <w:rPr>
                <w:rFonts w:ascii="Calibri" w:eastAsia="Times New Roman" w:hAnsi="Calibri" w:cs="Calibri"/>
                <w:color w:val="000000"/>
                <w:lang w:eastAsia="fr-FR"/>
              </w:rPr>
              <w:t>-Décrire la procédure collégiale et la décision médicale relative à l’introduction, la limitation, et l’arrêt des thérapeutiques actives</w:t>
            </w:r>
          </w:p>
        </w:tc>
      </w:tr>
      <w:tr w:rsidR="00AD4866" w:rsidRPr="00362DB2" w:rsidTr="00380F5D">
        <w:trPr>
          <w:trHeight w:val="510"/>
        </w:trPr>
        <w:tc>
          <w:tcPr>
            <w:tcW w:w="1040" w:type="dxa"/>
            <w:tcBorders>
              <w:top w:val="single" w:sz="4" w:space="0" w:color="auto"/>
              <w:left w:val="single" w:sz="4" w:space="0" w:color="auto"/>
              <w:bottom w:val="single" w:sz="4" w:space="0" w:color="auto"/>
              <w:right w:val="single" w:sz="4" w:space="0" w:color="auto"/>
            </w:tcBorders>
            <w:shd w:val="clear" w:color="auto" w:fill="auto"/>
          </w:tcPr>
          <w:p w:rsidR="00AD4866" w:rsidRPr="00362DB2" w:rsidRDefault="00AD4866" w:rsidP="00380F5D">
            <w:pPr>
              <w:spacing w:after="0" w:line="240" w:lineRule="auto"/>
              <w:jc w:val="right"/>
              <w:rPr>
                <w:rFonts w:ascii="Calibri" w:eastAsia="Times New Roman" w:hAnsi="Calibri" w:cs="Calibri"/>
                <w:color w:val="000000"/>
                <w:lang w:eastAsia="fr-FR"/>
              </w:rPr>
            </w:pPr>
            <w:r w:rsidRPr="00362DB2">
              <w:rPr>
                <w:rFonts w:ascii="Calibri" w:eastAsia="Times New Roman" w:hAnsi="Calibri" w:cs="Calibri"/>
                <w:color w:val="000000"/>
                <w:lang w:eastAsia="fr-FR"/>
              </w:rPr>
              <w:t>330</w:t>
            </w:r>
          </w:p>
        </w:tc>
        <w:tc>
          <w:tcPr>
            <w:tcW w:w="8256" w:type="dxa"/>
            <w:tcBorders>
              <w:top w:val="single" w:sz="4" w:space="0" w:color="auto"/>
              <w:left w:val="nil"/>
              <w:bottom w:val="single" w:sz="4" w:space="0" w:color="auto"/>
              <w:right w:val="single" w:sz="4" w:space="0" w:color="auto"/>
            </w:tcBorders>
            <w:shd w:val="clear" w:color="auto" w:fill="auto"/>
          </w:tcPr>
          <w:p w:rsidR="00AD4866" w:rsidRPr="00362DB2" w:rsidRDefault="00AD4866" w:rsidP="00380F5D">
            <w:pPr>
              <w:autoSpaceDE w:val="0"/>
              <w:autoSpaceDN w:val="0"/>
              <w:spacing w:after="0" w:line="240" w:lineRule="auto"/>
              <w:jc w:val="both"/>
              <w:rPr>
                <w:rFonts w:ascii="Calibri" w:eastAsia="Times New Roman" w:hAnsi="Calibri" w:cs="Calibri"/>
                <w:b/>
                <w:lang w:eastAsia="fr-FR"/>
              </w:rPr>
            </w:pPr>
            <w:r w:rsidRPr="00362DB2">
              <w:rPr>
                <w:rFonts w:ascii="Calibri" w:eastAsia="Times New Roman" w:hAnsi="Calibri" w:cs="Calibri"/>
                <w:b/>
                <w:lang w:eastAsia="fr-FR"/>
              </w:rPr>
              <w:t>Prescription et surveillance des classes de médicaments les plus courantes chez l'adulte et chez l'enfant, hors anti-infectieux (voir item 177). Connaitre le bon usage des principales classes thérapeutiques.</w:t>
            </w:r>
          </w:p>
          <w:p w:rsidR="00AD4866" w:rsidRPr="00362DB2" w:rsidRDefault="00AD4866" w:rsidP="00380F5D">
            <w:pPr>
              <w:autoSpaceDE w:val="0"/>
              <w:autoSpaceDN w:val="0"/>
              <w:spacing w:after="0" w:line="240" w:lineRule="auto"/>
              <w:jc w:val="both"/>
              <w:rPr>
                <w:rFonts w:ascii="Calibri" w:eastAsia="Times New Roman" w:hAnsi="Calibri" w:cs="Calibri"/>
                <w:b/>
                <w:lang w:eastAsia="fr-FR"/>
              </w:rPr>
            </w:pPr>
            <w:r w:rsidRPr="00362DB2">
              <w:rPr>
                <w:rFonts w:ascii="Calibri" w:eastAsia="Times New Roman" w:hAnsi="Calibri" w:cs="Calibri"/>
                <w:lang w:eastAsia="fr-FR"/>
              </w:rPr>
              <w:t>Antalgiques (voir item 135).</w:t>
            </w:r>
          </w:p>
          <w:p w:rsidR="00AD4866" w:rsidRPr="00362DB2" w:rsidRDefault="00AD4866" w:rsidP="00380F5D">
            <w:pPr>
              <w:autoSpaceDE w:val="0"/>
              <w:autoSpaceDN w:val="0"/>
              <w:spacing w:after="0" w:line="240" w:lineRule="auto"/>
              <w:jc w:val="both"/>
              <w:rPr>
                <w:rFonts w:ascii="Calibri" w:eastAsia="Times New Roman" w:hAnsi="Calibri" w:cs="Calibri"/>
                <w:b/>
                <w:bCs/>
                <w:color w:val="000000"/>
                <w:lang w:eastAsia="fr-FR"/>
              </w:rPr>
            </w:pPr>
          </w:p>
        </w:tc>
      </w:tr>
    </w:tbl>
    <w:p w:rsidR="008C3F55" w:rsidRDefault="008C3F55">
      <w:bookmarkStart w:id="0" w:name="_GoBack"/>
      <w:bookmarkEnd w:id="0"/>
    </w:p>
    <w:sectPr w:rsidR="008C3F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ngs">
    <w:altName w:val="Yu Gothic UI"/>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66"/>
    <w:rsid w:val="008C3F55"/>
    <w:rsid w:val="00AD48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2889F-EB9C-4268-8036-6539B4B4D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8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4570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UCBL</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VERONIQUE</dc:creator>
  <cp:keywords/>
  <dc:description/>
  <cp:lastModifiedBy>ARNAUD VERONIQUE</cp:lastModifiedBy>
  <cp:revision>1</cp:revision>
  <dcterms:created xsi:type="dcterms:W3CDTF">2021-04-16T05:36:00Z</dcterms:created>
  <dcterms:modified xsi:type="dcterms:W3CDTF">2021-04-16T05:37:00Z</dcterms:modified>
</cp:coreProperties>
</file>